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08EA8" w14:textId="77777777" w:rsidR="006B25BE" w:rsidRDefault="006B25BE" w:rsidP="006B25B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366ECF54" w14:textId="77777777" w:rsidR="007E6B91" w:rsidRDefault="007E6B91">
      <w:pPr>
        <w:pStyle w:val="Standard"/>
        <w:jc w:val="center"/>
        <w:rPr>
          <w:rFonts w:ascii="Times New Roman" w:hAnsi="Times New Roman"/>
          <w:b/>
        </w:rPr>
      </w:pPr>
    </w:p>
    <w:p w14:paraId="54148768" w14:textId="77777777" w:rsidR="007E6B91" w:rsidRDefault="001440B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E6B91" w14:paraId="0248882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B7BF8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FB51C" w14:textId="0FBEA04C" w:rsidR="007E6B91" w:rsidRPr="00DC2C21" w:rsidRDefault="00421E0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1E0C">
              <w:rPr>
                <w:rFonts w:ascii="Times New Roman" w:hAnsi="Times New Roman"/>
                <w:b/>
                <w:bCs/>
                <w:sz w:val="20"/>
                <w:szCs w:val="20"/>
              </w:rPr>
              <w:t>Organizacja i zakres działania sekretariatów sądowych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3A8BF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7C5C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6B91" w14:paraId="09228D1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BF28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3B48F" w14:textId="643F3FD2" w:rsidR="007E6B91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E6B91" w14:paraId="630F2F8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AAB1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04CF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6B91" w14:paraId="4DF2C2B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0658A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44689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E6B91" w14:paraId="446B46D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FB96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4952A" w14:textId="3600B460" w:rsidR="007E6B91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0C7A10"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</w:tr>
      <w:tr w:rsidR="007E6B91" w14:paraId="0E9F441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BD7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62E68" w14:textId="27849669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C2C2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E6B91" w14:paraId="290DB23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501CD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2D337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E6B91" w14:paraId="78D7ED2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B65B1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EC20" w14:textId="20340129" w:rsidR="007E6B91" w:rsidRPr="00CC254D" w:rsidRDefault="00CC25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C254D">
              <w:rPr>
                <w:rFonts w:ascii="Times New Roman" w:hAnsi="Times New Roman"/>
                <w:b/>
                <w:bCs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63A3" w14:textId="0A11C12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C2C2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6402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E6B91" w14:paraId="2EBD1042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130CF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3A63D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EAA27A0" w14:textId="4F409F3B" w:rsidR="00DC2C21" w:rsidRDefault="00DC2C2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F0855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F6B3C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1CC2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157C6" w14:textId="49C5A0C8" w:rsidR="007E6B91" w:rsidRDefault="001440BE" w:rsidP="00DC2C2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C2C2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008C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EEED9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DB90" w14:textId="77777777" w:rsidR="00B62891" w:rsidRDefault="00B62891"/>
        </w:tc>
      </w:tr>
      <w:tr w:rsidR="007E6B91" w14:paraId="5D5051E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591DD" w14:textId="77777777" w:rsidR="00B62891" w:rsidRDefault="00B6289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9959E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D891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033A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1999B4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5D870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3A00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96D40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F0E32" w14:paraId="191A8D74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2EA73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92E53" w14:textId="1D513A81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2D308" w14:textId="7E5F1568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6D28A" w14:textId="46740EF8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8B8BD" w14:textId="7BD99482" w:rsidR="00063806" w:rsidRPr="00063806" w:rsidRDefault="00CC254D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  <w:r w:rsidR="00063806" w:rsidRPr="00063806">
              <w:rPr>
                <w:rFonts w:ascii="Times New Roman" w:hAnsi="Times New Roman"/>
                <w:sz w:val="16"/>
                <w:szCs w:val="16"/>
              </w:rPr>
              <w:t xml:space="preserve"> w formie testu.</w:t>
            </w:r>
          </w:p>
          <w:p w14:paraId="3A93EB06" w14:textId="77777777" w:rsidR="00063806" w:rsidRPr="00063806" w:rsidRDefault="00063806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3806">
              <w:rPr>
                <w:rFonts w:ascii="Times New Roman" w:hAnsi="Times New Roman"/>
                <w:sz w:val="16"/>
                <w:szCs w:val="16"/>
              </w:rPr>
              <w:t>Student może uzyskać maksymalnie 30 punktów:</w:t>
            </w:r>
          </w:p>
          <w:p w14:paraId="57AC2024" w14:textId="77777777" w:rsidR="00063806" w:rsidRPr="00063806" w:rsidRDefault="00063806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3806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63806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063806">
              <w:rPr>
                <w:rFonts w:ascii="Times New Roman" w:hAnsi="Times New Roman"/>
                <w:sz w:val="16"/>
                <w:szCs w:val="16"/>
              </w:rPr>
              <w:t xml:space="preserve"> – 29-30 pkt</w:t>
            </w:r>
          </w:p>
          <w:p w14:paraId="0159F28D" w14:textId="77777777" w:rsidR="00063806" w:rsidRPr="00063806" w:rsidRDefault="00063806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3806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63806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063806">
              <w:rPr>
                <w:rFonts w:ascii="Times New Roman" w:hAnsi="Times New Roman"/>
                <w:sz w:val="16"/>
                <w:szCs w:val="16"/>
              </w:rPr>
              <w:t xml:space="preserve"> plus- 26-28 pkt</w:t>
            </w:r>
          </w:p>
          <w:p w14:paraId="72BACD28" w14:textId="77777777" w:rsidR="00063806" w:rsidRPr="00063806" w:rsidRDefault="00063806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3806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63806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063806">
              <w:rPr>
                <w:rFonts w:ascii="Times New Roman" w:hAnsi="Times New Roman"/>
                <w:sz w:val="16"/>
                <w:szCs w:val="16"/>
              </w:rPr>
              <w:t xml:space="preserve"> -23-25 pkt</w:t>
            </w:r>
          </w:p>
          <w:p w14:paraId="035D71BF" w14:textId="77777777" w:rsidR="00063806" w:rsidRPr="00063806" w:rsidRDefault="00063806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3806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63806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063806">
              <w:rPr>
                <w:rFonts w:ascii="Times New Roman" w:hAnsi="Times New Roman"/>
                <w:sz w:val="16"/>
                <w:szCs w:val="16"/>
              </w:rPr>
              <w:t xml:space="preserve"> plus 20-22 pkt</w:t>
            </w:r>
          </w:p>
          <w:p w14:paraId="32E14EEE" w14:textId="77777777" w:rsidR="00063806" w:rsidRPr="00063806" w:rsidRDefault="00063806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3806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63806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063806">
              <w:rPr>
                <w:rFonts w:ascii="Times New Roman" w:hAnsi="Times New Roman"/>
                <w:sz w:val="16"/>
                <w:szCs w:val="16"/>
              </w:rPr>
              <w:t xml:space="preserve"> -16-19 pkt</w:t>
            </w:r>
          </w:p>
          <w:p w14:paraId="35A7E30E" w14:textId="089DD030" w:rsidR="000F0E32" w:rsidRDefault="00063806" w:rsidP="00063806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63806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063806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063806">
              <w:rPr>
                <w:rFonts w:ascii="Times New Roman" w:hAnsi="Times New Roman"/>
                <w:sz w:val="16"/>
                <w:szCs w:val="16"/>
              </w:rPr>
              <w:t xml:space="preserve"> – 0-15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71A6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F0E32" w14:paraId="6D89700E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4BB2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1BA1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CB32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FCE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000A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A67B4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0504F218" w14:textId="77777777" w:rsidTr="005D111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CB91A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60991" w14:textId="5B2B8D05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9C176" w14:textId="64C0B590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FB823" w14:textId="7F5BF6E3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3EAA1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82CF85C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60409B0A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2988C2A0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7E9F2E7E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9F64F7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9F64F7"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3BC784B8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9F64F7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9F64F7">
              <w:rPr>
                <w:rFonts w:ascii="Times New Roman" w:hAnsi="Times New Roman"/>
                <w:sz w:val="16"/>
                <w:szCs w:val="16"/>
              </w:rPr>
              <w:t>+</w:t>
            </w:r>
            <w:r w:rsidRPr="009F64F7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703B64E0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9F64F7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9F64F7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3199E401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9F64F7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9F64F7"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77CCD34D" w14:textId="77777777" w:rsidR="009F64F7" w:rsidRPr="009F64F7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9F64F7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9F64F7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6B28029C" w14:textId="07D3221E" w:rsidR="000F0E32" w:rsidRDefault="009F64F7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F64F7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9F64F7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9F64F7"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0A16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F0E32" w14:paraId="5C8E022C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3F30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CDE52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A704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8F2EA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B6CC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AE5E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2B8D7CEB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62A66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571C8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AE09F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7FADE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FFEF3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4841F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0FA1F566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0D2C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C4DF7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7D5AB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F243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6D8F7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79C2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1BF7E414" w14:textId="77777777" w:rsidTr="00182882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BC176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991C7" w14:textId="63EA08C3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A5054" w14:textId="6E2AAFB2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87E38" w14:textId="6C9CFE6F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0875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42961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41C8B" w14:textId="77777777" w:rsidR="000F0E32" w:rsidRDefault="000F0E32" w:rsidP="000F0E3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702B7D" w14:paraId="61CE2ABE" w14:textId="77777777" w:rsidTr="0037477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85A2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41D1" w14:textId="77777777" w:rsidR="00702B7D" w:rsidRDefault="00702B7D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EC6979D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63B33936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6C699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DD0B2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12E8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02B7D" w14:paraId="4B2BFD76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9A68" w14:textId="77777777" w:rsidR="00702B7D" w:rsidRDefault="00702B7D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126A62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8334D" w14:textId="77777777" w:rsidR="00702B7D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4FAFF" w14:textId="31B217B5" w:rsidR="00702B7D" w:rsidRPr="00595A16" w:rsidRDefault="008C5B80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C5B80">
              <w:rPr>
                <w:rFonts w:ascii="Times New Roman" w:hAnsi="Times New Roman"/>
                <w:sz w:val="18"/>
                <w:szCs w:val="18"/>
              </w:rPr>
              <w:t xml:space="preserve">Ma pogłębioną wiedzę na temat metod ustalania zakresu rozwiązań prawno-organizacyjnych charakterystycznych dla sekretariatów sądowych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DE34C" w14:textId="7610FB35" w:rsidR="00702B7D" w:rsidRPr="002E77AA" w:rsidRDefault="00702B7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E77AA">
              <w:rPr>
                <w:rFonts w:ascii="Times New Roman" w:hAnsi="Times New Roman"/>
                <w:sz w:val="18"/>
                <w:szCs w:val="18"/>
              </w:rPr>
              <w:t>K_W0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D293" w14:textId="77777777" w:rsidR="00702B7D" w:rsidRPr="002E77AA" w:rsidRDefault="00702B7D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77A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3E13" w14:paraId="1E7CD6A3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035D9" w14:textId="77777777" w:rsidR="00533E13" w:rsidRDefault="00533E13" w:rsidP="00533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EABF5" w14:textId="786E4153" w:rsidR="00533E13" w:rsidRDefault="00533E13" w:rsidP="00533E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7C5F2" w14:textId="49B1D6F5" w:rsidR="00533E13" w:rsidRPr="008C5B80" w:rsidRDefault="00533E13" w:rsidP="00533E1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15697">
              <w:rPr>
                <w:rFonts w:ascii="Times New Roman" w:hAnsi="Times New Roman"/>
                <w:sz w:val="18"/>
                <w:szCs w:val="18"/>
              </w:rPr>
              <w:t xml:space="preserve">Ma pogłębioną wiedzę na temat zasad stanowienia </w:t>
            </w: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 w:rsidRPr="00533E13">
              <w:rPr>
                <w:rFonts w:ascii="Times New Roman" w:hAnsi="Times New Roman"/>
                <w:sz w:val="18"/>
                <w:szCs w:val="18"/>
              </w:rPr>
              <w:t>rganizacj</w:t>
            </w:r>
            <w:r>
              <w:rPr>
                <w:rFonts w:ascii="Times New Roman" w:hAnsi="Times New Roman"/>
                <w:sz w:val="18"/>
                <w:szCs w:val="18"/>
              </w:rPr>
              <w:t>i</w:t>
            </w:r>
            <w:r w:rsidRPr="00533E13">
              <w:rPr>
                <w:rFonts w:ascii="Times New Roman" w:hAnsi="Times New Roman"/>
                <w:sz w:val="18"/>
                <w:szCs w:val="18"/>
              </w:rPr>
              <w:t xml:space="preserve"> i zakres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Pr="00533E13">
              <w:rPr>
                <w:rFonts w:ascii="Times New Roman" w:hAnsi="Times New Roman"/>
                <w:sz w:val="18"/>
                <w:szCs w:val="18"/>
              </w:rPr>
              <w:t xml:space="preserve"> działania sekretariatów sądowych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1BCFE" w14:textId="2A2AB467" w:rsidR="00533E13" w:rsidRPr="002E77AA" w:rsidRDefault="00533E13" w:rsidP="00533E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5697">
              <w:rPr>
                <w:rFonts w:ascii="Times New Roman" w:hAnsi="Times New Roman"/>
                <w:sz w:val="18"/>
                <w:szCs w:val="18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1B36" w14:textId="43578B04" w:rsidR="00533E13" w:rsidRPr="002E77AA" w:rsidRDefault="00533E13" w:rsidP="00533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569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33E13" w14:paraId="09936314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76A36" w14:textId="77777777" w:rsidR="00533E13" w:rsidRDefault="00533E13" w:rsidP="00533E1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28B5C" w14:textId="685D8267" w:rsidR="00533E13" w:rsidRDefault="00533E13" w:rsidP="00533E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91811" w14:textId="70D7503B" w:rsidR="002E5358" w:rsidRPr="00415697" w:rsidRDefault="00533E13" w:rsidP="00533E1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21804">
              <w:rPr>
                <w:rFonts w:ascii="Times New Roman" w:hAnsi="Times New Roman"/>
                <w:sz w:val="18"/>
                <w:szCs w:val="18"/>
              </w:rPr>
              <w:t xml:space="preserve">Ma pogłębioną wiedzę na temat </w:t>
            </w:r>
            <w:r w:rsidR="00DF73FA">
              <w:rPr>
                <w:rFonts w:ascii="Times New Roman" w:hAnsi="Times New Roman"/>
                <w:sz w:val="18"/>
                <w:szCs w:val="18"/>
              </w:rPr>
              <w:t xml:space="preserve">uwarunkowań </w:t>
            </w:r>
            <w:r w:rsidR="00DF73FA" w:rsidRPr="002E5358">
              <w:rPr>
                <w:rFonts w:ascii="Times New Roman" w:hAnsi="Times New Roman"/>
                <w:sz w:val="18"/>
                <w:szCs w:val="18"/>
              </w:rPr>
              <w:t>prawno-organizacyjn</w:t>
            </w:r>
            <w:r w:rsidR="00DF73FA">
              <w:rPr>
                <w:rFonts w:ascii="Times New Roman" w:hAnsi="Times New Roman"/>
                <w:sz w:val="18"/>
                <w:szCs w:val="18"/>
              </w:rPr>
              <w:t>ych</w:t>
            </w:r>
            <w:r w:rsidR="00722A9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21804">
              <w:rPr>
                <w:rFonts w:ascii="Times New Roman" w:hAnsi="Times New Roman"/>
                <w:sz w:val="18"/>
                <w:szCs w:val="18"/>
              </w:rPr>
              <w:t xml:space="preserve">funkcjonowania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sekretariatów </w:t>
            </w:r>
            <w:r w:rsidR="002E5358">
              <w:rPr>
                <w:rFonts w:ascii="Times New Roman" w:hAnsi="Times New Roman"/>
                <w:sz w:val="18"/>
                <w:szCs w:val="18"/>
              </w:rPr>
              <w:t xml:space="preserve">sądowych </w:t>
            </w:r>
            <w:r w:rsidR="00DF73FA">
              <w:rPr>
                <w:rFonts w:ascii="Times New Roman" w:hAnsi="Times New Roman"/>
                <w:sz w:val="18"/>
                <w:szCs w:val="18"/>
              </w:rPr>
              <w:t>w systemie organizacyjnym 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D479A" w14:textId="2AF1987D" w:rsidR="00533E13" w:rsidRPr="00415697" w:rsidRDefault="00533E13" w:rsidP="00533E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1804">
              <w:rPr>
                <w:rFonts w:ascii="Times New Roman" w:hAnsi="Times New Roman"/>
                <w:sz w:val="18"/>
                <w:szCs w:val="18"/>
              </w:rPr>
              <w:t>K_W13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A980" w14:textId="4FCB2840" w:rsidR="00533E13" w:rsidRPr="00415697" w:rsidRDefault="00533E13" w:rsidP="00533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1804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A1777" w:rsidRPr="00021804" w14:paraId="166DFA79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CA5FE" w14:textId="77777777" w:rsidR="006A1777" w:rsidRDefault="006A1777" w:rsidP="006A17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F629" w14:textId="64A0849D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86A86" w14:textId="7D0C77DD" w:rsidR="006A1777" w:rsidRPr="00021804" w:rsidRDefault="006A1777" w:rsidP="006A177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Zna i rozumie uwarunkowania prawno-</w:t>
            </w:r>
            <w:r>
              <w:rPr>
                <w:rFonts w:ascii="Times New Roman" w:hAnsi="Times New Roman"/>
                <w:sz w:val="18"/>
                <w:szCs w:val="18"/>
              </w:rPr>
              <w:t>organizacyjne</w:t>
            </w:r>
            <w:r w:rsidRPr="005E11C1">
              <w:rPr>
                <w:rFonts w:ascii="Times New Roman" w:hAnsi="Times New Roman"/>
                <w:sz w:val="18"/>
                <w:szCs w:val="18"/>
              </w:rPr>
              <w:t xml:space="preserve"> związane z działalnością </w:t>
            </w:r>
            <w:r w:rsidRPr="008047DF">
              <w:rPr>
                <w:rFonts w:ascii="Times New Roman" w:hAnsi="Times New Roman"/>
                <w:sz w:val="18"/>
                <w:szCs w:val="18"/>
              </w:rPr>
              <w:t>administracji wymiaru sprawiedliwości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B5240" w14:textId="625F4AA6" w:rsidR="006A1777" w:rsidRPr="00021804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6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F243D" w14:textId="7CBFBBC3" w:rsidR="006A1777" w:rsidRPr="00021804" w:rsidRDefault="006A177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1C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A1777" w14:paraId="2DBF19BF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C448" w14:textId="77777777" w:rsidR="006A1777" w:rsidRDefault="006A1777" w:rsidP="006A17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CCD34" w14:textId="387DC480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935EF" w14:textId="2ED23900" w:rsidR="006A1777" w:rsidRPr="005E11C1" w:rsidRDefault="00AD4226" w:rsidP="006A177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D4226">
              <w:rPr>
                <w:rFonts w:ascii="Times New Roman" w:hAnsi="Times New Roman"/>
                <w:sz w:val="18"/>
                <w:szCs w:val="18"/>
              </w:rPr>
              <w:t xml:space="preserve">Zna i rozumie współczesne metody i techniki realizacji zadań przez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pracowników </w:t>
            </w:r>
            <w:r w:rsidRPr="008C5B80">
              <w:rPr>
                <w:rFonts w:ascii="Times New Roman" w:hAnsi="Times New Roman"/>
                <w:sz w:val="18"/>
                <w:szCs w:val="18"/>
              </w:rPr>
              <w:t>sekretariatów sądowych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6D6D5" w14:textId="1173B2F4" w:rsidR="006A1777" w:rsidRPr="005E11C1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8E61" w14:textId="1EA4EF51" w:rsidR="006A1777" w:rsidRPr="005E11C1" w:rsidRDefault="006A177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A1777" w14:paraId="5779A9DB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B8D8E" w14:textId="77777777" w:rsidR="006A1777" w:rsidRDefault="006A177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8239E8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45166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80E9" w14:textId="21A64EA1" w:rsidR="006A1777" w:rsidRPr="005E11C1" w:rsidRDefault="00680998" w:rsidP="006A177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0998">
              <w:rPr>
                <w:rFonts w:ascii="Times New Roman" w:hAnsi="Times New Roman"/>
                <w:sz w:val="18"/>
                <w:szCs w:val="18"/>
              </w:rPr>
              <w:t xml:space="preserve">Umie dokonać analizy wyzwań środowiska </w:t>
            </w:r>
            <w:r w:rsidR="0090059C">
              <w:rPr>
                <w:rFonts w:ascii="Times New Roman" w:hAnsi="Times New Roman"/>
                <w:sz w:val="18"/>
                <w:szCs w:val="18"/>
              </w:rPr>
              <w:t>sądów powszechnych</w:t>
            </w:r>
            <w:r w:rsidRPr="00680998">
              <w:rPr>
                <w:rFonts w:ascii="Times New Roman" w:hAnsi="Times New Roman"/>
                <w:sz w:val="18"/>
                <w:szCs w:val="18"/>
              </w:rPr>
              <w:t xml:space="preserve"> państwa warunkujących skuteczność działania </w:t>
            </w:r>
            <w:r w:rsidR="0090059C" w:rsidRPr="0090059C">
              <w:rPr>
                <w:rFonts w:ascii="Times New Roman" w:hAnsi="Times New Roman"/>
                <w:sz w:val="18"/>
                <w:szCs w:val="18"/>
              </w:rPr>
              <w:t>sekretariatów sądowych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4DE8B" w14:textId="77777777" w:rsidR="006A1777" w:rsidRPr="007D4593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A4A86" w14:textId="04233C07" w:rsidR="006A1777" w:rsidRPr="005E11C1" w:rsidRDefault="006A1777" w:rsidP="006A177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1C1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A1777" w14:paraId="6EB675CF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612B8" w14:textId="77777777" w:rsidR="006A1777" w:rsidRDefault="006A177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906B7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8DA6" w14:textId="20A77718" w:rsidR="00C61DEE" w:rsidRPr="005E11C1" w:rsidRDefault="00C61DEE" w:rsidP="00116A80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1DEE">
              <w:rPr>
                <w:rFonts w:ascii="Times New Roman" w:hAnsi="Times New Roman"/>
                <w:sz w:val="18"/>
                <w:szCs w:val="18"/>
              </w:rPr>
              <w:t xml:space="preserve">Potrafi korzystać z najnowszych metod badawczych z zakresu prawno-administracyjnego funkcjonowania </w:t>
            </w:r>
            <w:r w:rsidRPr="008C5B80">
              <w:rPr>
                <w:rFonts w:ascii="Times New Roman" w:hAnsi="Times New Roman"/>
                <w:sz w:val="18"/>
                <w:szCs w:val="18"/>
              </w:rPr>
              <w:t>sekretariatów sądowyc</w:t>
            </w:r>
            <w:r>
              <w:rPr>
                <w:rFonts w:ascii="Times New Roman" w:hAnsi="Times New Roman"/>
                <w:sz w:val="18"/>
                <w:szCs w:val="18"/>
              </w:rPr>
              <w:t>h</w:t>
            </w:r>
            <w:r w:rsidRPr="00C61DEE">
              <w:rPr>
                <w:rFonts w:ascii="Times New Roman" w:hAnsi="Times New Roman"/>
                <w:sz w:val="18"/>
                <w:szCs w:val="18"/>
              </w:rPr>
              <w:t xml:space="preserve">, rozumie i </w:t>
            </w:r>
            <w:r w:rsidR="00116A80">
              <w:rPr>
                <w:rFonts w:ascii="Times New Roman" w:hAnsi="Times New Roman"/>
                <w:sz w:val="18"/>
                <w:szCs w:val="18"/>
              </w:rPr>
              <w:t xml:space="preserve">właściwie </w:t>
            </w:r>
            <w:r w:rsidRPr="00C61DEE">
              <w:rPr>
                <w:rFonts w:ascii="Times New Roman" w:hAnsi="Times New Roman"/>
                <w:sz w:val="18"/>
                <w:szCs w:val="18"/>
              </w:rPr>
              <w:t xml:space="preserve">interpretuje </w:t>
            </w:r>
            <w:r w:rsidR="00116A80">
              <w:rPr>
                <w:rFonts w:ascii="Times New Roman" w:hAnsi="Times New Roman"/>
                <w:sz w:val="18"/>
                <w:szCs w:val="18"/>
              </w:rPr>
              <w:t>normy prawa wewnętrznego 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DD3BF" w14:textId="77777777" w:rsidR="006A1777" w:rsidRPr="005E11C1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13A4D" w14:textId="77777777" w:rsidR="006A1777" w:rsidRPr="005E11C1" w:rsidRDefault="006A1777" w:rsidP="006A177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1C1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A1777" w14:paraId="0CADED6E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7E3B" w14:textId="77777777" w:rsidR="006A1777" w:rsidRDefault="006A177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19D55" w14:textId="28968E0C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C3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159F" w14:textId="2A4ED8DE" w:rsidR="00B95857" w:rsidRDefault="00B95857" w:rsidP="006A177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857">
              <w:rPr>
                <w:rFonts w:ascii="Times New Roman" w:hAnsi="Times New Roman"/>
                <w:sz w:val="18"/>
                <w:szCs w:val="18"/>
              </w:rPr>
              <w:t xml:space="preserve">Potrafi przeprowadzić pogłębioną analizę problemów związanych z funkcjonowaniem </w:t>
            </w:r>
            <w:r w:rsidRPr="008C5B80">
              <w:rPr>
                <w:rFonts w:ascii="Times New Roman" w:hAnsi="Times New Roman"/>
                <w:sz w:val="18"/>
                <w:szCs w:val="18"/>
              </w:rPr>
              <w:t>sekretariatów sądowych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oraz </w:t>
            </w:r>
            <w:r w:rsidRPr="005E11C1">
              <w:rPr>
                <w:rFonts w:ascii="Times New Roman" w:hAnsi="Times New Roman"/>
                <w:sz w:val="18"/>
                <w:szCs w:val="18"/>
              </w:rPr>
              <w:t xml:space="preserve">na tej podstawie  </w:t>
            </w:r>
          </w:p>
          <w:p w14:paraId="663DC867" w14:textId="7AA8A4E7" w:rsidR="006A1777" w:rsidRPr="005E11C1" w:rsidRDefault="00B95857" w:rsidP="006A177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5857">
              <w:rPr>
                <w:rFonts w:ascii="Times New Roman" w:hAnsi="Times New Roman"/>
                <w:sz w:val="18"/>
                <w:szCs w:val="18"/>
              </w:rPr>
              <w:t>zaproponować  racjonalne rozwiązania poprawiające efektywność działania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0170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K_U10</w:t>
            </w:r>
          </w:p>
          <w:p w14:paraId="44CA26B7" w14:textId="2FFB1E9B" w:rsidR="006A1777" w:rsidRPr="005E11C1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0C3B" w14:textId="5466414C" w:rsidR="006A1777" w:rsidRPr="005E11C1" w:rsidRDefault="006A1777" w:rsidP="006A177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CP</w:t>
            </w:r>
          </w:p>
        </w:tc>
      </w:tr>
      <w:tr w:rsidR="00D949A7" w14:paraId="386517FA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F055F" w14:textId="77777777" w:rsidR="00D949A7" w:rsidRDefault="00D949A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E613" w14:textId="0AA365CA" w:rsidR="00D949A7" w:rsidRDefault="00D949A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05B90" w14:textId="5E0F8FDC" w:rsidR="00D949A7" w:rsidRPr="00B95857" w:rsidRDefault="00D949A7" w:rsidP="006A177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9A7">
              <w:rPr>
                <w:rFonts w:ascii="Times New Roman" w:hAnsi="Times New Roman"/>
                <w:sz w:val="18"/>
                <w:szCs w:val="18"/>
              </w:rPr>
              <w:t xml:space="preserve">Potrafi wykonywać zadania samodzielnego pracownika administracyjnego </w:t>
            </w:r>
            <w:r w:rsidRPr="008C5B80">
              <w:rPr>
                <w:rFonts w:ascii="Times New Roman" w:hAnsi="Times New Roman"/>
                <w:sz w:val="18"/>
                <w:szCs w:val="18"/>
              </w:rPr>
              <w:t>sekretariatów sądowych</w:t>
            </w:r>
            <w:r w:rsidR="00053B10" w:rsidRPr="00D949A7">
              <w:rPr>
                <w:rFonts w:ascii="Times New Roman" w:hAnsi="Times New Roman"/>
                <w:sz w:val="18"/>
                <w:szCs w:val="18"/>
              </w:rPr>
              <w:t xml:space="preserve"> w różnych uwarunkowaniach funkcjonowania</w:t>
            </w:r>
            <w:r w:rsidR="00053B10">
              <w:rPr>
                <w:rFonts w:ascii="Times New Roman" w:hAnsi="Times New Roman"/>
                <w:sz w:val="18"/>
                <w:szCs w:val="18"/>
              </w:rPr>
              <w:t xml:space="preserve"> 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59C65" w14:textId="4FD1EA0A" w:rsidR="00D949A7" w:rsidRPr="005E11C1" w:rsidRDefault="00D949A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DBCE9" w14:textId="5131320E" w:rsidR="00D949A7" w:rsidRPr="005E11C1" w:rsidRDefault="00D949A7" w:rsidP="006A177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CP</w:t>
            </w:r>
          </w:p>
        </w:tc>
      </w:tr>
      <w:tr w:rsidR="006A1777" w14:paraId="19CC9C55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5F12" w14:textId="77777777" w:rsidR="006A1777" w:rsidRDefault="006A1777" w:rsidP="006A177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DDB4D" w14:textId="7D4C1342" w:rsidR="006A1777" w:rsidRDefault="00864F19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6A177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307CB" w14:textId="6E0EEC6D" w:rsidR="006A1777" w:rsidRPr="00680B6F" w:rsidRDefault="00712557" w:rsidP="000224E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12557">
              <w:rPr>
                <w:rFonts w:ascii="Times New Roman" w:hAnsi="Times New Roman"/>
                <w:sz w:val="18"/>
                <w:szCs w:val="18"/>
              </w:rPr>
              <w:t xml:space="preserve">Dostrzega i w pełni rozumie potrzebę </w:t>
            </w:r>
            <w:r>
              <w:rPr>
                <w:rFonts w:ascii="Times New Roman" w:hAnsi="Times New Roman"/>
                <w:sz w:val="18"/>
                <w:szCs w:val="18"/>
              </w:rPr>
              <w:t>samo</w:t>
            </w:r>
            <w:r w:rsidRPr="00712557">
              <w:rPr>
                <w:rFonts w:ascii="Times New Roman" w:hAnsi="Times New Roman"/>
                <w:sz w:val="18"/>
                <w:szCs w:val="18"/>
              </w:rPr>
              <w:t xml:space="preserve">kształcenia </w:t>
            </w:r>
            <w:r w:rsidR="000224E4">
              <w:rPr>
                <w:rFonts w:ascii="Times New Roman" w:hAnsi="Times New Roman"/>
                <w:sz w:val="18"/>
                <w:szCs w:val="18"/>
              </w:rPr>
              <w:t xml:space="preserve">w zakresie prawidłowego </w:t>
            </w:r>
            <w:r>
              <w:rPr>
                <w:rFonts w:ascii="Times New Roman" w:hAnsi="Times New Roman"/>
                <w:sz w:val="18"/>
                <w:szCs w:val="18"/>
              </w:rPr>
              <w:t>funkcjonowania</w:t>
            </w:r>
            <w:r w:rsidRPr="008C5B80">
              <w:rPr>
                <w:rFonts w:ascii="Times New Roman" w:hAnsi="Times New Roman"/>
                <w:sz w:val="18"/>
                <w:szCs w:val="18"/>
              </w:rPr>
              <w:t xml:space="preserve"> sekretariatów sądowych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0224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C43B9">
              <w:rPr>
                <w:rFonts w:ascii="Times New Roman" w:hAnsi="Times New Roman"/>
                <w:sz w:val="18"/>
                <w:szCs w:val="18"/>
              </w:rPr>
              <w:t xml:space="preserve">a także </w:t>
            </w:r>
            <w:r w:rsidR="000224E4">
              <w:rPr>
                <w:rFonts w:ascii="Times New Roman" w:hAnsi="Times New Roman"/>
                <w:sz w:val="18"/>
                <w:szCs w:val="18"/>
              </w:rPr>
              <w:t>p</w:t>
            </w:r>
            <w:r w:rsidR="006A1777" w:rsidRPr="00680B6F">
              <w:rPr>
                <w:rFonts w:ascii="Times New Roman" w:hAnsi="Times New Roman"/>
                <w:sz w:val="18"/>
                <w:szCs w:val="18"/>
              </w:rPr>
              <w:t xml:space="preserve">otrafi logicznie zinterpretować </w:t>
            </w:r>
            <w:r w:rsidR="00AF161D">
              <w:rPr>
                <w:rFonts w:ascii="Times New Roman" w:hAnsi="Times New Roman"/>
                <w:sz w:val="18"/>
                <w:szCs w:val="18"/>
              </w:rPr>
              <w:t>analizy</w:t>
            </w:r>
            <w:r w:rsidR="006A1777" w:rsidRPr="00680B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C43B9">
              <w:rPr>
                <w:rFonts w:ascii="Times New Roman" w:hAnsi="Times New Roman"/>
                <w:sz w:val="18"/>
                <w:szCs w:val="18"/>
              </w:rPr>
              <w:t>efektywności pracy tych sekretariatów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A73B4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E11C1">
              <w:rPr>
                <w:rFonts w:ascii="Times New Roman" w:hAnsi="Times New Roman"/>
                <w:sz w:val="18"/>
                <w:szCs w:val="16"/>
              </w:rPr>
              <w:t>K_U12</w:t>
            </w:r>
          </w:p>
          <w:p w14:paraId="5C7EC319" w14:textId="30BF4227" w:rsidR="00864F19" w:rsidRPr="005E11C1" w:rsidRDefault="00864F19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F7372" w14:textId="77777777" w:rsidR="006A1777" w:rsidRPr="005E11C1" w:rsidRDefault="006A1777" w:rsidP="006A177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11C1">
              <w:rPr>
                <w:rFonts w:ascii="Times New Roman" w:hAnsi="Times New Roman"/>
                <w:sz w:val="18"/>
                <w:szCs w:val="18"/>
              </w:rPr>
              <w:t>CP</w:t>
            </w:r>
          </w:p>
        </w:tc>
      </w:tr>
      <w:tr w:rsidR="006A1777" w14:paraId="40E218C0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1A08" w14:textId="77777777" w:rsidR="006A1777" w:rsidRDefault="006A177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7184BD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E2CB7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62B3F" w14:textId="71E213DB" w:rsidR="007C317D" w:rsidRPr="00680B6F" w:rsidRDefault="003B4C40" w:rsidP="003B4C40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4C40">
              <w:rPr>
                <w:rFonts w:ascii="Times New Roman" w:hAnsi="Times New Roman"/>
                <w:sz w:val="18"/>
                <w:szCs w:val="18"/>
              </w:rPr>
              <w:t xml:space="preserve">Jest gotowy do pracy w zespołach zadaniowych prowadzących krytyczne analizy i oceny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pracy </w:t>
            </w:r>
            <w:r w:rsidRPr="008C5B80">
              <w:rPr>
                <w:rFonts w:ascii="Times New Roman" w:hAnsi="Times New Roman"/>
                <w:sz w:val="18"/>
                <w:szCs w:val="18"/>
              </w:rPr>
              <w:t>sekretariatów sądowych</w:t>
            </w:r>
            <w:r w:rsidR="007C317D">
              <w:rPr>
                <w:rFonts w:ascii="Times New Roman" w:hAnsi="Times New Roman"/>
                <w:sz w:val="18"/>
                <w:szCs w:val="18"/>
              </w:rPr>
              <w:t xml:space="preserve">, a także </w:t>
            </w:r>
            <w:r w:rsidR="007C317D" w:rsidRPr="007C317D">
              <w:rPr>
                <w:rFonts w:ascii="Times New Roman" w:hAnsi="Times New Roman"/>
                <w:sz w:val="18"/>
                <w:szCs w:val="18"/>
              </w:rPr>
              <w:t>w zakresie wprowadzania nowoczesnych zasad i norm działania administracji</w:t>
            </w:r>
            <w:r w:rsidR="006064A1">
              <w:rPr>
                <w:rFonts w:ascii="Times New Roman" w:hAnsi="Times New Roman"/>
                <w:sz w:val="18"/>
                <w:szCs w:val="18"/>
              </w:rPr>
              <w:t xml:space="preserve"> 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3F664" w14:textId="77777777" w:rsidR="006A1777" w:rsidRDefault="006A1777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680B6F">
              <w:rPr>
                <w:rFonts w:ascii="Times New Roman" w:hAnsi="Times New Roman"/>
                <w:sz w:val="18"/>
                <w:szCs w:val="16"/>
              </w:rPr>
              <w:t>K_K0</w:t>
            </w:r>
            <w:r w:rsidR="002D7F3B">
              <w:rPr>
                <w:rFonts w:ascii="Times New Roman" w:hAnsi="Times New Roman"/>
                <w:sz w:val="18"/>
                <w:szCs w:val="16"/>
              </w:rPr>
              <w:t>3</w:t>
            </w:r>
          </w:p>
          <w:p w14:paraId="1CB5BD4C" w14:textId="29B43EE1" w:rsidR="006064A1" w:rsidRPr="00680B6F" w:rsidRDefault="006064A1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BC2F0" w14:textId="77777777" w:rsidR="006A1777" w:rsidRDefault="006A1777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D7F3B" w14:paraId="7AEBC8CF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7603" w14:textId="77777777" w:rsidR="002D7F3B" w:rsidRDefault="002D7F3B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3F62" w14:textId="478C7C8F" w:rsidR="002D7F3B" w:rsidRDefault="00AE2564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7AD4" w14:textId="25E12A3A" w:rsidR="002D7F3B" w:rsidRPr="00680B6F" w:rsidRDefault="006064A1" w:rsidP="006A177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64A1">
              <w:rPr>
                <w:rFonts w:ascii="Times New Roman" w:hAnsi="Times New Roman"/>
                <w:sz w:val="18"/>
                <w:szCs w:val="18"/>
              </w:rPr>
              <w:t xml:space="preserve">Jest gotowy do samodzielnego działania jako pracownik </w:t>
            </w:r>
            <w:r w:rsidR="006A1C22" w:rsidRPr="008C5B80">
              <w:rPr>
                <w:rFonts w:ascii="Times New Roman" w:hAnsi="Times New Roman"/>
                <w:sz w:val="18"/>
                <w:szCs w:val="18"/>
              </w:rPr>
              <w:t>sekretariatów sądowych</w:t>
            </w:r>
            <w:r w:rsidR="006A1C22">
              <w:rPr>
                <w:rFonts w:ascii="Times New Roman" w:hAnsi="Times New Roman"/>
                <w:sz w:val="18"/>
                <w:szCs w:val="18"/>
              </w:rPr>
              <w:t xml:space="preserve">, potrafi </w:t>
            </w:r>
            <w:r w:rsidR="006A1C22" w:rsidRPr="006064A1">
              <w:rPr>
                <w:rFonts w:ascii="Times New Roman" w:hAnsi="Times New Roman"/>
                <w:sz w:val="18"/>
                <w:szCs w:val="18"/>
              </w:rPr>
              <w:t>formułować propozycje podejmowania skoordynowanych działań przez różne zespoły w ramach wsparcia administracyjnego wykonywanego dla sądownictwa powszechnego</w:t>
            </w:r>
            <w:r w:rsidRPr="006064A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1E3E4" w14:textId="0BD01BA8" w:rsidR="002D7F3B" w:rsidRPr="00680B6F" w:rsidRDefault="009B5D0B" w:rsidP="006A177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K-K07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899B" w14:textId="49296C83" w:rsidR="002D7F3B" w:rsidRDefault="002544E5" w:rsidP="006A177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B5D0B" w14:paraId="10142810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2D7D" w14:textId="77777777" w:rsidR="009B5D0B" w:rsidRDefault="009B5D0B" w:rsidP="009B5D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EE54" w14:textId="74251385" w:rsidR="009B5D0B" w:rsidRDefault="00AE2564" w:rsidP="009B5D0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BECA" w14:textId="75FB36EC" w:rsidR="009B5D0B" w:rsidRPr="00680B6F" w:rsidRDefault="009B5D0B" w:rsidP="009B5D0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0B6F">
              <w:rPr>
                <w:rFonts w:ascii="Times New Roman" w:hAnsi="Times New Roman"/>
                <w:sz w:val="18"/>
                <w:szCs w:val="18"/>
              </w:rPr>
              <w:t xml:space="preserve">Jest przygotowany do odpowiedzialnego aktywnego zawodowego funkcjonowania w ramach administracji </w:t>
            </w:r>
            <w:r w:rsidR="006603D2">
              <w:rPr>
                <w:rFonts w:ascii="Times New Roman" w:hAnsi="Times New Roman"/>
                <w:sz w:val="18"/>
                <w:szCs w:val="18"/>
              </w:rPr>
              <w:t>sekretariatów sądowych</w:t>
            </w:r>
            <w:r w:rsidRPr="00680B6F">
              <w:rPr>
                <w:rFonts w:ascii="Times New Roman" w:hAnsi="Times New Roman"/>
                <w:sz w:val="18"/>
                <w:szCs w:val="18"/>
              </w:rPr>
              <w:t xml:space="preserve">, z uwzględnieniem etosu zawodowego urzędnika </w:t>
            </w:r>
            <w:r w:rsidR="006603D2">
              <w:rPr>
                <w:rFonts w:ascii="Times New Roman" w:hAnsi="Times New Roman"/>
                <w:sz w:val="18"/>
                <w:szCs w:val="18"/>
              </w:rPr>
              <w:t>sądowego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2F10A" w14:textId="77777777" w:rsidR="009B5D0B" w:rsidRDefault="009B5D0B" w:rsidP="009B5D0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680B6F">
              <w:rPr>
                <w:rFonts w:ascii="Times New Roman" w:hAnsi="Times New Roman"/>
                <w:sz w:val="18"/>
                <w:szCs w:val="16"/>
              </w:rPr>
              <w:t>K_K08</w:t>
            </w:r>
          </w:p>
          <w:p w14:paraId="349E4704" w14:textId="16DF1E1C" w:rsidR="002544E5" w:rsidRPr="00680B6F" w:rsidRDefault="002544E5" w:rsidP="009B5D0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K_K10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73334" w14:textId="04E2C3FD" w:rsidR="009B5D0B" w:rsidRDefault="009B5D0B" w:rsidP="009B5D0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54E2ABD8" w14:textId="77777777" w:rsidR="00702B7D" w:rsidRDefault="00702B7D" w:rsidP="0061434D">
      <w:pPr>
        <w:pStyle w:val="Standard"/>
        <w:spacing w:after="0"/>
      </w:pPr>
    </w:p>
    <w:p w14:paraId="16E76A6B" w14:textId="77777777" w:rsidR="00702B7D" w:rsidRDefault="00702B7D" w:rsidP="00702B7D">
      <w:pPr>
        <w:pStyle w:val="Standard"/>
        <w:jc w:val="center"/>
        <w:rPr>
          <w:rFonts w:ascii="Times New Roman" w:hAnsi="Times New Roman"/>
          <w:b/>
          <w:bCs/>
        </w:rPr>
      </w:pPr>
      <w:r w:rsidRPr="002B53C0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702B7D" w:rsidRPr="00F963EF" w14:paraId="78088BD8" w14:textId="77777777" w:rsidTr="00374775">
        <w:tc>
          <w:tcPr>
            <w:tcW w:w="2802" w:type="dxa"/>
          </w:tcPr>
          <w:p w14:paraId="46EA4265" w14:textId="77777777" w:rsidR="00702B7D" w:rsidRPr="00F963EF" w:rsidRDefault="00702B7D" w:rsidP="003747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401E706" w14:textId="77777777" w:rsidR="00702B7D" w:rsidRPr="00F963EF" w:rsidRDefault="00702B7D" w:rsidP="0037477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702B7D" w:rsidRPr="00F963EF" w14:paraId="4916E62A" w14:textId="77777777" w:rsidTr="00374775">
        <w:tc>
          <w:tcPr>
            <w:tcW w:w="2802" w:type="dxa"/>
          </w:tcPr>
          <w:p w14:paraId="7AE9E649" w14:textId="77777777" w:rsidR="00702B7D" w:rsidRPr="00414EE1" w:rsidRDefault="00702B7D" w:rsidP="0037477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A34726E" w14:textId="77777777" w:rsidR="00702B7D" w:rsidRPr="00414EE1" w:rsidRDefault="00702B7D" w:rsidP="00374775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702B7D" w:rsidRPr="00F963EF" w14:paraId="2C1525B9" w14:textId="77777777" w:rsidTr="00374775">
        <w:tc>
          <w:tcPr>
            <w:tcW w:w="9212" w:type="dxa"/>
            <w:gridSpan w:val="2"/>
          </w:tcPr>
          <w:p w14:paraId="0E88AB02" w14:textId="77777777" w:rsidR="00702B7D" w:rsidRPr="00F963EF" w:rsidRDefault="00702B7D" w:rsidP="0037477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702B7D" w:rsidRPr="00A11C9C" w14:paraId="79C2B941" w14:textId="77777777" w:rsidTr="00374775">
        <w:tc>
          <w:tcPr>
            <w:tcW w:w="9212" w:type="dxa"/>
            <w:gridSpan w:val="2"/>
          </w:tcPr>
          <w:p w14:paraId="2405BF9F" w14:textId="77777777" w:rsidR="00B537A2" w:rsidRPr="00A11C9C" w:rsidRDefault="00B537A2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bCs/>
                <w:sz w:val="20"/>
                <w:szCs w:val="20"/>
              </w:rPr>
              <w:t>Zapoznanie z programem przedmiotu, wymaganiami, aktami prawnymi oraz literaturą, omówienie efektów kształcenia, punktacji ECTS oraz form zaliczenia przedmiotu.</w:t>
            </w:r>
          </w:p>
          <w:p w14:paraId="32CF5801" w14:textId="576FF13C" w:rsidR="00B537A2" w:rsidRPr="00A11C9C" w:rsidRDefault="00B537A2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>Struktura i zadania sądów powszechnych.</w:t>
            </w:r>
          </w:p>
          <w:p w14:paraId="556891C2" w14:textId="10BE74F4" w:rsidR="00B537A2" w:rsidRPr="00A11C9C" w:rsidRDefault="00B537A2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>Organizacja wewnętrzna sądów powszechnych</w:t>
            </w:r>
            <w:r w:rsidR="00D864FC" w:rsidRPr="00A11C9C">
              <w:rPr>
                <w:rFonts w:cs="Times New Roman"/>
                <w:sz w:val="20"/>
                <w:szCs w:val="20"/>
              </w:rPr>
              <w:t xml:space="preserve">, w tym </w:t>
            </w:r>
            <w:r w:rsidR="00C95DF2" w:rsidRPr="00A11C9C">
              <w:rPr>
                <w:rFonts w:cs="Times New Roman"/>
                <w:sz w:val="20"/>
                <w:szCs w:val="20"/>
              </w:rPr>
              <w:t>podział na wydziały, oddziały, sekcje</w:t>
            </w:r>
            <w:r w:rsidR="00313625" w:rsidRPr="00A11C9C">
              <w:rPr>
                <w:rFonts w:cs="Times New Roman"/>
                <w:sz w:val="20"/>
                <w:szCs w:val="20"/>
              </w:rPr>
              <w:t xml:space="preserve"> i </w:t>
            </w:r>
            <w:r w:rsidR="000325E8" w:rsidRPr="00A11C9C">
              <w:rPr>
                <w:rFonts w:cs="Times New Roman"/>
                <w:sz w:val="20"/>
                <w:szCs w:val="20"/>
              </w:rPr>
              <w:t>zespoły</w:t>
            </w:r>
            <w:r w:rsidR="00C212D9" w:rsidRPr="00A11C9C">
              <w:rPr>
                <w:rFonts w:cs="Times New Roman"/>
                <w:sz w:val="20"/>
                <w:szCs w:val="20"/>
              </w:rPr>
              <w:t>.</w:t>
            </w:r>
          </w:p>
          <w:p w14:paraId="6E706919" w14:textId="0915192B" w:rsidR="00944915" w:rsidRPr="00A11C9C" w:rsidRDefault="00944915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>O</w:t>
            </w:r>
            <w:r w:rsidR="00B777BD" w:rsidRPr="00A11C9C">
              <w:rPr>
                <w:rFonts w:cs="Times New Roman"/>
                <w:sz w:val="20"/>
                <w:szCs w:val="20"/>
              </w:rPr>
              <w:t>rganizacja</w:t>
            </w:r>
            <w:r w:rsidRPr="00A11C9C">
              <w:rPr>
                <w:rFonts w:cs="Times New Roman"/>
                <w:sz w:val="20"/>
                <w:szCs w:val="20"/>
              </w:rPr>
              <w:t xml:space="preserve"> i zakres działania sekretariatów sądowych oraz innych działów administracji sądowej.</w:t>
            </w:r>
          </w:p>
          <w:p w14:paraId="43736697" w14:textId="3EFDF63B" w:rsidR="004754C3" w:rsidRPr="00A11C9C" w:rsidRDefault="004754C3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 xml:space="preserve">Status pracowników sądowych w świetle </w:t>
            </w:r>
            <w:r w:rsidR="00242C1A" w:rsidRPr="00A11C9C">
              <w:rPr>
                <w:rFonts w:cs="Times New Roman"/>
                <w:sz w:val="20"/>
                <w:szCs w:val="20"/>
              </w:rPr>
              <w:t xml:space="preserve">przepisów </w:t>
            </w:r>
            <w:r w:rsidRPr="00A11C9C">
              <w:rPr>
                <w:rFonts w:cs="Times New Roman"/>
                <w:sz w:val="20"/>
                <w:szCs w:val="20"/>
              </w:rPr>
              <w:t xml:space="preserve">ustawy </w:t>
            </w:r>
            <w:r w:rsidR="00242C1A" w:rsidRPr="00A11C9C">
              <w:rPr>
                <w:rFonts w:cs="Times New Roman"/>
                <w:sz w:val="20"/>
                <w:szCs w:val="20"/>
              </w:rPr>
              <w:t>z 18 grudnia 1998 r. o pracownikach sądów i prokuratury</w:t>
            </w:r>
            <w:r w:rsidR="00D864FC" w:rsidRPr="00A11C9C">
              <w:rPr>
                <w:rFonts w:cs="Times New Roman"/>
                <w:sz w:val="20"/>
                <w:szCs w:val="20"/>
              </w:rPr>
              <w:t xml:space="preserve">, w tym </w:t>
            </w:r>
            <w:r w:rsidR="00C95DF2" w:rsidRPr="00A11C9C">
              <w:rPr>
                <w:rFonts w:cs="Times New Roman"/>
                <w:sz w:val="20"/>
                <w:szCs w:val="20"/>
              </w:rPr>
              <w:t>wymagane kwalifikacje, charakter prawny stosunku pracy, obowiązki służbowe, zasady wynagradzania</w:t>
            </w:r>
            <w:r w:rsidR="00242C1A" w:rsidRPr="00A11C9C">
              <w:rPr>
                <w:rFonts w:cs="Times New Roman"/>
                <w:sz w:val="20"/>
                <w:szCs w:val="20"/>
              </w:rPr>
              <w:t>.</w:t>
            </w:r>
          </w:p>
          <w:p w14:paraId="543383D3" w14:textId="46850CDF" w:rsidR="009B36FD" w:rsidRPr="00A11C9C" w:rsidRDefault="009B36FD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>Zasady i tryb postępowania przy dokonywaniu ocen urzędników i innych pracowników sądów oraz szczeble awansu zawodowego.</w:t>
            </w:r>
          </w:p>
          <w:p w14:paraId="1D81D3E5" w14:textId="1C04F880" w:rsidR="005C7F38" w:rsidRPr="00A11C9C" w:rsidRDefault="005C7F38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 xml:space="preserve">Tajemnica służbowa </w:t>
            </w:r>
            <w:r w:rsidR="00313625" w:rsidRPr="00A11C9C">
              <w:rPr>
                <w:rFonts w:cs="Times New Roman"/>
                <w:sz w:val="20"/>
                <w:szCs w:val="20"/>
              </w:rPr>
              <w:t>i inne tajemnice prawnie chronione</w:t>
            </w:r>
            <w:r w:rsidRPr="00A11C9C">
              <w:rPr>
                <w:rFonts w:cs="Times New Roman"/>
                <w:sz w:val="20"/>
                <w:szCs w:val="20"/>
              </w:rPr>
              <w:t>.</w:t>
            </w:r>
          </w:p>
          <w:p w14:paraId="6D66E9C3" w14:textId="73CDEA23" w:rsidR="00D864FC" w:rsidRPr="00A11C9C" w:rsidRDefault="00D864FC" w:rsidP="00B537A2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>Odpowiedzialność dyscyplinarna, porządkowa i materialna urzędników sądowych.</w:t>
            </w:r>
          </w:p>
          <w:p w14:paraId="502D6D30" w14:textId="39C36C83" w:rsidR="00702B7D" w:rsidRPr="00A11C9C" w:rsidRDefault="005C7F38" w:rsidP="0094491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594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>Dostęp do informacji publicznej, obieg informacji oraz ochrona danych osobowych.</w:t>
            </w:r>
            <w:r w:rsidR="004968C5" w:rsidRPr="00A11C9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4968C5" w:rsidRPr="00A11C9C">
              <w:rPr>
                <w:rStyle w:val="Inne"/>
                <w:rFonts w:ascii="Times New Roman" w:hAnsi="Times New Roman" w:cs="Times New Roman"/>
              </w:rPr>
              <w:t>Anonimizacja</w:t>
            </w:r>
            <w:proofErr w:type="spellEnd"/>
            <w:r w:rsidR="004968C5" w:rsidRPr="00A11C9C">
              <w:rPr>
                <w:rStyle w:val="Inne"/>
                <w:rFonts w:ascii="Times New Roman" w:hAnsi="Times New Roman" w:cs="Times New Roman"/>
              </w:rPr>
              <w:t xml:space="preserve"> orzeczeń sądowych.</w:t>
            </w:r>
          </w:p>
        </w:tc>
      </w:tr>
    </w:tbl>
    <w:p w14:paraId="3E49E541" w14:textId="77777777" w:rsidR="00702B7D" w:rsidRPr="00A11C9C" w:rsidRDefault="00702B7D" w:rsidP="00702B7D">
      <w:pPr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702B7D" w:rsidRPr="00F963EF" w14:paraId="492D60C3" w14:textId="77777777" w:rsidTr="00374775">
        <w:tc>
          <w:tcPr>
            <w:tcW w:w="2802" w:type="dxa"/>
          </w:tcPr>
          <w:p w14:paraId="33ECC528" w14:textId="77777777" w:rsidR="00702B7D" w:rsidRPr="00F963EF" w:rsidRDefault="00702B7D" w:rsidP="003747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D546181" w14:textId="77777777" w:rsidR="00702B7D" w:rsidRPr="00F963EF" w:rsidRDefault="00702B7D" w:rsidP="0037477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702B7D" w:rsidRPr="00F963EF" w14:paraId="140B3897" w14:textId="77777777" w:rsidTr="00374775">
        <w:tc>
          <w:tcPr>
            <w:tcW w:w="2802" w:type="dxa"/>
          </w:tcPr>
          <w:p w14:paraId="6CE5FCF1" w14:textId="77777777" w:rsidR="00702B7D" w:rsidRPr="00414EE1" w:rsidRDefault="00702B7D" w:rsidP="003747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E259D2A" w14:textId="1824BA3B" w:rsidR="00702B7D" w:rsidRPr="00732EBB" w:rsidRDefault="00702B7D" w:rsidP="00A11C9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5C7F38">
              <w:rPr>
                <w:bCs/>
                <w:sz w:val="18"/>
                <w:szCs w:val="18"/>
              </w:rPr>
              <w:t xml:space="preserve">indywidualna </w:t>
            </w:r>
            <w:r w:rsidR="00A11C9C">
              <w:rPr>
                <w:bCs/>
                <w:sz w:val="18"/>
                <w:szCs w:val="18"/>
              </w:rPr>
              <w:t>lub</w:t>
            </w:r>
            <w:r w:rsidR="005C7F38">
              <w:rPr>
                <w:bCs/>
                <w:sz w:val="18"/>
                <w:szCs w:val="18"/>
              </w:rPr>
              <w:t xml:space="preserve"> </w:t>
            </w:r>
            <w:r w:rsidRPr="00732EBB">
              <w:rPr>
                <w:bCs/>
                <w:sz w:val="18"/>
                <w:szCs w:val="18"/>
              </w:rPr>
              <w:t>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702B7D" w:rsidRPr="00F963EF" w14:paraId="03CD1C33" w14:textId="77777777" w:rsidTr="00374775">
        <w:tc>
          <w:tcPr>
            <w:tcW w:w="9212" w:type="dxa"/>
            <w:gridSpan w:val="2"/>
          </w:tcPr>
          <w:p w14:paraId="0D86B4A7" w14:textId="77777777" w:rsidR="00702B7D" w:rsidRPr="00F963EF" w:rsidRDefault="00702B7D" w:rsidP="0037477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702B7D" w:rsidRPr="00F963EF" w14:paraId="677A9520" w14:textId="77777777" w:rsidTr="00374775">
        <w:tc>
          <w:tcPr>
            <w:tcW w:w="9212" w:type="dxa"/>
            <w:gridSpan w:val="2"/>
          </w:tcPr>
          <w:p w14:paraId="2059E227" w14:textId="77777777" w:rsidR="004968C5" w:rsidRPr="00A11C9C" w:rsidRDefault="00BA5754" w:rsidP="00D06BEA">
            <w:pPr>
              <w:widowControl/>
              <w:numPr>
                <w:ilvl w:val="0"/>
                <w:numId w:val="1"/>
              </w:numPr>
              <w:tabs>
                <w:tab w:val="left" w:pos="1267"/>
                <w:tab w:val="left" w:pos="2630"/>
                <w:tab w:val="left" w:pos="3994"/>
                <w:tab w:val="left" w:pos="4406"/>
                <w:tab w:val="left" w:pos="5467"/>
                <w:tab w:val="left" w:pos="6403"/>
              </w:tabs>
              <w:suppressAutoHyphens w:val="0"/>
              <w:autoSpaceDN/>
              <w:spacing w:line="259" w:lineRule="auto"/>
              <w:jc w:val="both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Fonts w:cs="Times New Roman"/>
                <w:sz w:val="20"/>
                <w:szCs w:val="20"/>
              </w:rPr>
              <w:t>Sekretariat sądowy jako zespół urzędników i pracowników sądowych wykonujących czynności biurowe w sprawach sądowych.</w:t>
            </w:r>
          </w:p>
          <w:p w14:paraId="002F4393" w14:textId="304008BD" w:rsidR="009511A0" w:rsidRPr="00A11C9C" w:rsidRDefault="009511A0" w:rsidP="00D06BEA">
            <w:pPr>
              <w:widowControl/>
              <w:numPr>
                <w:ilvl w:val="0"/>
                <w:numId w:val="1"/>
              </w:numPr>
              <w:tabs>
                <w:tab w:val="left" w:pos="1267"/>
                <w:tab w:val="left" w:pos="2630"/>
                <w:tab w:val="left" w:pos="3994"/>
                <w:tab w:val="left" w:pos="4406"/>
                <w:tab w:val="left" w:pos="5467"/>
                <w:tab w:val="left" w:pos="6403"/>
              </w:tabs>
              <w:suppressAutoHyphens w:val="0"/>
              <w:autoSpaceDN/>
              <w:spacing w:line="259" w:lineRule="auto"/>
              <w:jc w:val="both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>Instrukcja kancelaryjna oraz Jednolity Rzeczowy Wykaz Akt. Wewnętrzny obieg dokumentów.</w:t>
            </w:r>
          </w:p>
          <w:p w14:paraId="658EAB44" w14:textId="3345C258" w:rsidR="008545ED" w:rsidRPr="00A11C9C" w:rsidRDefault="008545ED" w:rsidP="00D06BEA">
            <w:pPr>
              <w:widowControl/>
              <w:numPr>
                <w:ilvl w:val="0"/>
                <w:numId w:val="1"/>
              </w:numPr>
              <w:tabs>
                <w:tab w:val="left" w:pos="1267"/>
                <w:tab w:val="left" w:pos="2630"/>
                <w:tab w:val="left" w:pos="3994"/>
                <w:tab w:val="left" w:pos="4406"/>
                <w:tab w:val="left" w:pos="5467"/>
                <w:tab w:val="left" w:pos="6403"/>
              </w:tabs>
              <w:suppressAutoHyphens w:val="0"/>
              <w:autoSpaceDN/>
              <w:spacing w:line="259" w:lineRule="auto"/>
              <w:jc w:val="both"/>
              <w:textAlignment w:val="auto"/>
              <w:rPr>
                <w:rStyle w:val="Inne"/>
                <w:rFonts w:ascii="Times New Roman" w:eastAsia="SimSun" w:hAnsi="Times New Roman" w:cs="Times New Roman"/>
                <w:bCs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 xml:space="preserve">Biurowość w sprawach </w:t>
            </w:r>
            <w:r w:rsidR="00AA02BB" w:rsidRPr="00A11C9C">
              <w:rPr>
                <w:rStyle w:val="Inne"/>
                <w:rFonts w:ascii="Times New Roman" w:hAnsi="Times New Roman" w:cs="Times New Roman"/>
              </w:rPr>
              <w:t>karnych i wykroczeniowych w sądach powszechnych</w:t>
            </w:r>
            <w:r w:rsidR="00063936" w:rsidRPr="00A11C9C">
              <w:rPr>
                <w:rStyle w:val="Inne"/>
                <w:rFonts w:ascii="Times New Roman" w:hAnsi="Times New Roman" w:cs="Times New Roman"/>
              </w:rPr>
              <w:t xml:space="preserve"> - przepisy ogólne oraz urządzenia ewidencyjne</w:t>
            </w:r>
            <w:r w:rsidRPr="00A11C9C">
              <w:rPr>
                <w:rStyle w:val="Inne"/>
                <w:rFonts w:ascii="Times New Roman" w:hAnsi="Times New Roman" w:cs="Times New Roman"/>
              </w:rPr>
              <w:t xml:space="preserve">. Czynności </w:t>
            </w:r>
            <w:r w:rsidR="00063936" w:rsidRPr="00A11C9C">
              <w:rPr>
                <w:rStyle w:val="Inne"/>
                <w:rFonts w:ascii="Times New Roman" w:hAnsi="Times New Roman" w:cs="Times New Roman"/>
              </w:rPr>
              <w:t>biurowe i ewidencyjne w postępowaniu karnym wykonawczym</w:t>
            </w:r>
            <w:r w:rsidRPr="00A11C9C">
              <w:rPr>
                <w:rStyle w:val="Inne"/>
                <w:rFonts w:ascii="Times New Roman" w:hAnsi="Times New Roman" w:cs="Times New Roman"/>
              </w:rPr>
              <w:t>.</w:t>
            </w:r>
          </w:p>
          <w:p w14:paraId="6D2914D0" w14:textId="77777777" w:rsidR="00063936" w:rsidRPr="00A11C9C" w:rsidRDefault="00AA02BB" w:rsidP="00D55C5F">
            <w:pPr>
              <w:widowControl/>
              <w:numPr>
                <w:ilvl w:val="0"/>
                <w:numId w:val="1"/>
              </w:numPr>
              <w:tabs>
                <w:tab w:val="left" w:pos="1267"/>
                <w:tab w:val="left" w:pos="2630"/>
                <w:tab w:val="left" w:pos="3994"/>
                <w:tab w:val="left" w:pos="4406"/>
                <w:tab w:val="left" w:pos="5467"/>
                <w:tab w:val="left" w:pos="6403"/>
              </w:tabs>
              <w:suppressAutoHyphens w:val="0"/>
              <w:autoSpaceDN/>
              <w:spacing w:line="259" w:lineRule="auto"/>
              <w:jc w:val="both"/>
              <w:textAlignment w:val="auto"/>
              <w:rPr>
                <w:rStyle w:val="Inne"/>
                <w:rFonts w:ascii="Times New Roman" w:eastAsia="SimSun" w:hAnsi="Times New Roman" w:cs="Times New Roman"/>
                <w:bCs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 xml:space="preserve">Biurowość w sprawach cywilnych w sądach powszechnych - przepisy ogólne oraz urządzenia ewidencyjne. </w:t>
            </w:r>
          </w:p>
          <w:p w14:paraId="008B804F" w14:textId="5C105DA1" w:rsidR="00AA02BB" w:rsidRPr="00A11C9C" w:rsidRDefault="00AA02BB" w:rsidP="00D55C5F">
            <w:pPr>
              <w:widowControl/>
              <w:numPr>
                <w:ilvl w:val="0"/>
                <w:numId w:val="1"/>
              </w:numPr>
              <w:tabs>
                <w:tab w:val="left" w:pos="1267"/>
                <w:tab w:val="left" w:pos="2630"/>
                <w:tab w:val="left" w:pos="3994"/>
                <w:tab w:val="left" w:pos="4406"/>
                <w:tab w:val="left" w:pos="5467"/>
                <w:tab w:val="left" w:pos="6403"/>
              </w:tabs>
              <w:suppressAutoHyphens w:val="0"/>
              <w:autoSpaceDN/>
              <w:spacing w:line="259" w:lineRule="auto"/>
              <w:jc w:val="both"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>Biurowość w sprawach rozpoznawanych przez wydział rodzinny i nieletnich - przepisy ogólne oraz urządzenia ewidencyjne. Czynności biurowe i ewidencyjne w postępowaniu wykonawczym.</w:t>
            </w:r>
          </w:p>
          <w:p w14:paraId="0F6E147D" w14:textId="3FB9C61D" w:rsidR="00702B7D" w:rsidRPr="00A11C9C" w:rsidRDefault="00E1700D" w:rsidP="00BA575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Style w:val="Inne"/>
                <w:rFonts w:ascii="Times New Roman" w:eastAsia="SimSun" w:hAnsi="Times New Roman" w:cs="Times New Roman"/>
                <w:bCs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 xml:space="preserve">Współpraca </w:t>
            </w:r>
            <w:r w:rsidR="00FD32CD" w:rsidRPr="00A11C9C">
              <w:rPr>
                <w:rStyle w:val="Inne"/>
                <w:rFonts w:ascii="Times New Roman" w:hAnsi="Times New Roman" w:cs="Times New Roman"/>
              </w:rPr>
              <w:t xml:space="preserve">sekretariatów sądowych </w:t>
            </w:r>
            <w:r w:rsidRPr="00A11C9C">
              <w:rPr>
                <w:rStyle w:val="Inne"/>
                <w:rFonts w:ascii="Times New Roman" w:hAnsi="Times New Roman" w:cs="Times New Roman"/>
              </w:rPr>
              <w:t>z Oddziałem Finansowym.</w:t>
            </w:r>
          </w:p>
          <w:p w14:paraId="26918BD4" w14:textId="446F62D4" w:rsidR="00FD32CD" w:rsidRPr="00A11C9C" w:rsidRDefault="00FD32CD" w:rsidP="00BA575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>Współpraca sekretariatów sądowych z zespołami kuratorskiej służby sądowej</w:t>
            </w:r>
            <w:r w:rsidR="009511A0" w:rsidRPr="00A11C9C">
              <w:rPr>
                <w:rStyle w:val="Inne"/>
                <w:rFonts w:ascii="Times New Roman" w:hAnsi="Times New Roman" w:cs="Times New Roman"/>
              </w:rPr>
              <w:t>.</w:t>
            </w:r>
          </w:p>
          <w:p w14:paraId="6E8003C4" w14:textId="77777777" w:rsidR="00E1700D" w:rsidRPr="00A11C9C" w:rsidRDefault="00E1700D" w:rsidP="00BA575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Style w:val="Inne"/>
                <w:rFonts w:ascii="Times New Roman" w:eastAsia="SimSun" w:hAnsi="Times New Roman" w:cs="Times New Roman"/>
                <w:bCs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>Archiwum zakładowe i jego rola. Archiwizacja akt.</w:t>
            </w:r>
          </w:p>
          <w:p w14:paraId="139F59D5" w14:textId="77777777" w:rsidR="00B541D5" w:rsidRPr="00A11C9C" w:rsidRDefault="00B541D5" w:rsidP="00BA575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Style w:val="Inne"/>
                <w:rFonts w:ascii="Times New Roman" w:eastAsia="SimSun" w:hAnsi="Times New Roman" w:cs="Times New Roman"/>
                <w:bCs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>Podstawy statystyki sądowej. Wykorzystanie sprawozdań statystycznych do realizowania zadań z zakresu nadzoru administracyjnego.</w:t>
            </w:r>
          </w:p>
          <w:p w14:paraId="4496C7C4" w14:textId="07552B17" w:rsidR="004C3DE9" w:rsidRPr="00A11C9C" w:rsidRDefault="004C3DE9" w:rsidP="004C3DE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A11C9C">
              <w:rPr>
                <w:rStyle w:val="Inne"/>
                <w:rFonts w:ascii="Times New Roman" w:hAnsi="Times New Roman" w:cs="Times New Roman"/>
              </w:rPr>
              <w:t>Zasady użytkowania systemów informatycznych w sądach powszechnych.</w:t>
            </w:r>
          </w:p>
        </w:tc>
      </w:tr>
    </w:tbl>
    <w:p w14:paraId="64B7CE2E" w14:textId="77777777" w:rsidR="00702B7D" w:rsidRDefault="00702B7D" w:rsidP="00702B7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A6DA794" w14:textId="77777777" w:rsidR="00702B7D" w:rsidRDefault="00702B7D" w:rsidP="00702B7D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02B7D" w:rsidRPr="00003394" w14:paraId="284DDDDC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2D60B" w14:textId="77777777" w:rsidR="00702B7D" w:rsidRPr="00003394" w:rsidRDefault="00702B7D" w:rsidP="00ED4B4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3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A58CF" w14:textId="037310F7" w:rsidR="00702B7D" w:rsidRPr="00ED4B46" w:rsidRDefault="00003394" w:rsidP="00ED4B46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3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 Romańska (red.) „Regulamin urzędowania sądów powszechnych”, C.H. Beck, Warszawa 2017 r.</w:t>
            </w:r>
          </w:p>
        </w:tc>
      </w:tr>
      <w:tr w:rsidR="00702B7D" w:rsidRPr="00003394" w14:paraId="5110C13F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50089" w14:textId="77777777" w:rsidR="00702B7D" w:rsidRPr="00003394" w:rsidRDefault="00702B7D" w:rsidP="00ED4B4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39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69C7" w14:textId="74E33485" w:rsidR="00702B7D" w:rsidRPr="00ED4B46" w:rsidRDefault="00003394" w:rsidP="00ED4B46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394">
              <w:rPr>
                <w:rFonts w:ascii="Times New Roman" w:eastAsia="SimSun" w:hAnsi="Times New Roman" w:cs="Times New Roman"/>
                <w:color w:val="auto"/>
                <w:sz w:val="20"/>
                <w:szCs w:val="20"/>
              </w:rPr>
              <w:t>A. Żurawik „</w:t>
            </w:r>
            <w:r w:rsidRPr="000033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Ustrój sądownictwa w Polsce”, C.H. Beck, Warszawa 2013 r</w:t>
            </w:r>
          </w:p>
        </w:tc>
      </w:tr>
      <w:tr w:rsidR="00702B7D" w:rsidRPr="00003394" w14:paraId="4AB77647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27272" w14:textId="77777777" w:rsidR="00702B7D" w:rsidRPr="00003394" w:rsidRDefault="00702B7D" w:rsidP="00ED4B4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3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D29C0" w14:textId="4B62BE23" w:rsidR="00702B7D" w:rsidRPr="00ED4B46" w:rsidRDefault="00003394" w:rsidP="00ED4B46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394">
              <w:rPr>
                <w:rFonts w:ascii="Times New Roman" w:hAnsi="Times New Roman"/>
                <w:sz w:val="20"/>
                <w:szCs w:val="20"/>
              </w:rPr>
              <w:t xml:space="preserve">T. </w:t>
            </w:r>
            <w:proofErr w:type="spellStart"/>
            <w:r w:rsidRPr="00003394">
              <w:rPr>
                <w:rFonts w:ascii="Times New Roman" w:hAnsi="Times New Roman"/>
                <w:sz w:val="20"/>
                <w:szCs w:val="20"/>
              </w:rPr>
              <w:t>Ereciński</w:t>
            </w:r>
            <w:proofErr w:type="spellEnd"/>
            <w:r w:rsidRPr="00003394">
              <w:rPr>
                <w:rFonts w:ascii="Times New Roman" w:hAnsi="Times New Roman"/>
                <w:sz w:val="20"/>
                <w:szCs w:val="20"/>
              </w:rPr>
              <w:t xml:space="preserve"> „Prawo o ustroju sądów powszechnych”, </w:t>
            </w:r>
            <w:proofErr w:type="spellStart"/>
            <w:r w:rsidRPr="00003394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003394">
              <w:rPr>
                <w:rFonts w:ascii="Times New Roman" w:hAnsi="Times New Roman"/>
                <w:sz w:val="20"/>
                <w:szCs w:val="20"/>
              </w:rPr>
              <w:t>, Warszawa 2009 r.</w:t>
            </w:r>
          </w:p>
        </w:tc>
      </w:tr>
    </w:tbl>
    <w:p w14:paraId="7B415F3A" w14:textId="77777777" w:rsidR="00702B7D" w:rsidRPr="00003394" w:rsidRDefault="00702B7D" w:rsidP="00003394">
      <w:pPr>
        <w:pStyle w:val="Standard"/>
        <w:spacing w:after="0" w:line="240" w:lineRule="auto"/>
        <w:rPr>
          <w:sz w:val="20"/>
          <w:szCs w:val="20"/>
        </w:rPr>
      </w:pPr>
    </w:p>
    <w:p w14:paraId="15EF2152" w14:textId="77777777" w:rsidR="00702B7D" w:rsidRPr="00003394" w:rsidRDefault="00702B7D" w:rsidP="0000339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0339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02B7D" w:rsidRPr="00003394" w14:paraId="1C838174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DF3F9" w14:textId="77777777" w:rsidR="00702B7D" w:rsidRPr="00003394" w:rsidRDefault="00702B7D" w:rsidP="0000339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39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55F3E" w14:textId="26252D3E" w:rsidR="00702B7D" w:rsidRPr="00ED4B46" w:rsidRDefault="00003394" w:rsidP="00ED4B46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3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 Gawłowski, K. Makowski „Organizacja i zarządzanie w administracji publicznej”, C.H. Beck, Warszawa 2022 r.</w:t>
            </w:r>
          </w:p>
        </w:tc>
      </w:tr>
      <w:tr w:rsidR="00702B7D" w:rsidRPr="00003394" w14:paraId="0850A1E5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EDE4" w14:textId="77777777" w:rsidR="00702B7D" w:rsidRPr="00003394" w:rsidRDefault="00702B7D" w:rsidP="0000339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39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85138" w14:textId="7B4565E8" w:rsidR="00702B7D" w:rsidRPr="00ED4B46" w:rsidRDefault="00000000" w:rsidP="00ED4B46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7" w:tgtFrame="_self" w:tooltip="Jan Aleksander Zimmermann" w:history="1">
              <w:r w:rsidR="00003394" w:rsidRPr="0000339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Jan Aleksander Zimmermann </w:t>
              </w:r>
            </w:hyperlink>
            <w:r w:rsidR="00003394" w:rsidRPr="000033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„Aksjomaty administracji publicznej”, </w:t>
            </w:r>
            <w:hyperlink r:id="rId8" w:tgtFrame="_self" w:tooltip="Wolters Kluwer Polska" w:history="1">
              <w:r w:rsidR="00003394" w:rsidRPr="0000339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Wolters Kluwer Polska</w:t>
              </w:r>
            </w:hyperlink>
            <w:r w:rsidR="00003394" w:rsidRPr="000033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2022 r.</w:t>
            </w:r>
          </w:p>
        </w:tc>
      </w:tr>
      <w:tr w:rsidR="00702B7D" w:rsidRPr="00003394" w14:paraId="38437260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F8BC9" w14:textId="77777777" w:rsidR="00702B7D" w:rsidRPr="00003394" w:rsidRDefault="00702B7D" w:rsidP="0000339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39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25D56" w14:textId="2059DD59" w:rsidR="00702B7D" w:rsidRPr="00ED4B46" w:rsidRDefault="00003394" w:rsidP="00ED4B46">
            <w:pPr>
              <w:pStyle w:val="Nagwek3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39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pl-PL" w:bidi="ar-SA"/>
              </w:rPr>
              <w:t>Jerzy Hausner (red. nauk.) „</w:t>
            </w:r>
            <w:r w:rsidRPr="00BC636B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pl-PL" w:bidi="ar-SA"/>
              </w:rPr>
              <w:t>Administracja publiczna</w:t>
            </w:r>
            <w:r w:rsidRPr="00003394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pl-PL" w:bidi="ar-SA"/>
              </w:rPr>
              <w:t>”,</w:t>
            </w:r>
            <w:r w:rsidRPr="000033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hyperlink r:id="rId9" w:tooltip="Wydawnictwo Naukowe PWN" w:history="1">
              <w:r w:rsidRPr="0000339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PWN</w:t>
              </w:r>
            </w:hyperlink>
            <w:r w:rsidRPr="00003394">
              <w:rPr>
                <w:rStyle w:val="value"/>
                <w:rFonts w:ascii="Times New Roman" w:hAnsi="Times New Roman" w:cs="Times New Roman"/>
                <w:color w:val="auto"/>
                <w:sz w:val="20"/>
                <w:szCs w:val="20"/>
              </w:rPr>
              <w:t>, Warszawa 2023 r</w:t>
            </w:r>
          </w:p>
        </w:tc>
      </w:tr>
      <w:tr w:rsidR="00702B7D" w:rsidRPr="00003394" w14:paraId="4C27DCAF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7A751" w14:textId="77777777" w:rsidR="00702B7D" w:rsidRPr="00003394" w:rsidRDefault="00702B7D" w:rsidP="0000339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339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A8B1F" w14:textId="328D6F48" w:rsidR="00702B7D" w:rsidRPr="00003394" w:rsidRDefault="00003394" w:rsidP="00ED4B46">
            <w:pPr>
              <w:rPr>
                <w:sz w:val="20"/>
                <w:szCs w:val="20"/>
              </w:rPr>
            </w:pPr>
            <w:r w:rsidRPr="00003394">
              <w:rPr>
                <w:sz w:val="20"/>
                <w:szCs w:val="20"/>
              </w:rPr>
              <w:t xml:space="preserve">M. </w:t>
            </w:r>
            <w:proofErr w:type="spellStart"/>
            <w:r w:rsidRPr="00003394">
              <w:rPr>
                <w:sz w:val="20"/>
                <w:szCs w:val="20"/>
              </w:rPr>
              <w:t>Odlanicka-Poczobutt</w:t>
            </w:r>
            <w:proofErr w:type="spellEnd"/>
            <w:r w:rsidRPr="00003394">
              <w:rPr>
                <w:sz w:val="20"/>
                <w:szCs w:val="20"/>
              </w:rPr>
              <w:t xml:space="preserve"> „Standaryzacja czynności sekretariatów sądowych jako element koncepcji </w:t>
            </w:r>
            <w:r w:rsidRPr="00003394">
              <w:rPr>
                <w:i/>
                <w:sz w:val="20"/>
                <w:szCs w:val="20"/>
              </w:rPr>
              <w:t>Lean</w:t>
            </w:r>
            <w:r w:rsidRPr="00003394">
              <w:rPr>
                <w:sz w:val="20"/>
                <w:szCs w:val="20"/>
              </w:rPr>
              <w:t xml:space="preserve"> w logistyce wewnętrznej sądów powszechnych”, Zeszyty Naukowe Politechniki Śląskiej 2017 r.</w:t>
            </w:r>
          </w:p>
        </w:tc>
      </w:tr>
    </w:tbl>
    <w:p w14:paraId="5B2EC728" w14:textId="77777777" w:rsidR="00FA2F91" w:rsidRDefault="00FA2F91" w:rsidP="0077295A">
      <w:pPr>
        <w:pStyle w:val="Standard"/>
      </w:pPr>
    </w:p>
    <w:sectPr w:rsidR="00FA2F9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4675" w14:textId="77777777" w:rsidR="00CE18A6" w:rsidRDefault="00CE18A6">
      <w:r>
        <w:separator/>
      </w:r>
    </w:p>
  </w:endnote>
  <w:endnote w:type="continuationSeparator" w:id="0">
    <w:p w14:paraId="27D8B319" w14:textId="77777777" w:rsidR="00CE18A6" w:rsidRDefault="00CE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A9DAA" w14:textId="77777777" w:rsidR="00CE18A6" w:rsidRDefault="00CE18A6">
      <w:r>
        <w:rPr>
          <w:color w:val="000000"/>
        </w:rPr>
        <w:separator/>
      </w:r>
    </w:p>
  </w:footnote>
  <w:footnote w:type="continuationSeparator" w:id="0">
    <w:p w14:paraId="4399DE94" w14:textId="77777777" w:rsidR="00CE18A6" w:rsidRDefault="00CE1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F164C"/>
    <w:multiLevelType w:val="hybridMultilevel"/>
    <w:tmpl w:val="ABF2D6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810717">
    <w:abstractNumId w:val="0"/>
  </w:num>
  <w:num w:numId="2" w16cid:durableId="1814566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B91"/>
    <w:rsid w:val="00003394"/>
    <w:rsid w:val="000224E4"/>
    <w:rsid w:val="000325E8"/>
    <w:rsid w:val="00053B10"/>
    <w:rsid w:val="00063806"/>
    <w:rsid w:val="00063936"/>
    <w:rsid w:val="00065A11"/>
    <w:rsid w:val="000C7A10"/>
    <w:rsid w:val="000F0E32"/>
    <w:rsid w:val="00101CCA"/>
    <w:rsid w:val="00116A80"/>
    <w:rsid w:val="001440BE"/>
    <w:rsid w:val="00152006"/>
    <w:rsid w:val="00196519"/>
    <w:rsid w:val="001D6E52"/>
    <w:rsid w:val="001E4910"/>
    <w:rsid w:val="0021394E"/>
    <w:rsid w:val="00242C1A"/>
    <w:rsid w:val="002544E5"/>
    <w:rsid w:val="002D7F3B"/>
    <w:rsid w:val="002E5358"/>
    <w:rsid w:val="00313625"/>
    <w:rsid w:val="00325198"/>
    <w:rsid w:val="00361D8F"/>
    <w:rsid w:val="00384123"/>
    <w:rsid w:val="00392CA2"/>
    <w:rsid w:val="003B4C40"/>
    <w:rsid w:val="00421E0C"/>
    <w:rsid w:val="004317BC"/>
    <w:rsid w:val="004754C3"/>
    <w:rsid w:val="004968C5"/>
    <w:rsid w:val="004C3DE9"/>
    <w:rsid w:val="00516D00"/>
    <w:rsid w:val="00533E13"/>
    <w:rsid w:val="005551F9"/>
    <w:rsid w:val="005556E5"/>
    <w:rsid w:val="00584614"/>
    <w:rsid w:val="005B2306"/>
    <w:rsid w:val="005C7F38"/>
    <w:rsid w:val="005D1113"/>
    <w:rsid w:val="006064A1"/>
    <w:rsid w:val="0061434D"/>
    <w:rsid w:val="006603D2"/>
    <w:rsid w:val="00680998"/>
    <w:rsid w:val="006A1072"/>
    <w:rsid w:val="006A1777"/>
    <w:rsid w:val="006A1C22"/>
    <w:rsid w:val="006B25BE"/>
    <w:rsid w:val="006E23FA"/>
    <w:rsid w:val="00702B7D"/>
    <w:rsid w:val="00712557"/>
    <w:rsid w:val="00722A9B"/>
    <w:rsid w:val="0077295A"/>
    <w:rsid w:val="00792E95"/>
    <w:rsid w:val="007C317D"/>
    <w:rsid w:val="007E6B91"/>
    <w:rsid w:val="007E7C50"/>
    <w:rsid w:val="00814781"/>
    <w:rsid w:val="008545ED"/>
    <w:rsid w:val="00864F19"/>
    <w:rsid w:val="008C550E"/>
    <w:rsid w:val="008C5B80"/>
    <w:rsid w:val="008E04FE"/>
    <w:rsid w:val="008E5F0A"/>
    <w:rsid w:val="008E7AE7"/>
    <w:rsid w:val="0090059C"/>
    <w:rsid w:val="00937C0C"/>
    <w:rsid w:val="00944915"/>
    <w:rsid w:val="009511A0"/>
    <w:rsid w:val="009B36FD"/>
    <w:rsid w:val="009B5D0B"/>
    <w:rsid w:val="009F64F7"/>
    <w:rsid w:val="00A11C9C"/>
    <w:rsid w:val="00A83909"/>
    <w:rsid w:val="00A8754C"/>
    <w:rsid w:val="00AA02BB"/>
    <w:rsid w:val="00AD4226"/>
    <w:rsid w:val="00AE2564"/>
    <w:rsid w:val="00AF161D"/>
    <w:rsid w:val="00B0165D"/>
    <w:rsid w:val="00B537A2"/>
    <w:rsid w:val="00B541D5"/>
    <w:rsid w:val="00B62891"/>
    <w:rsid w:val="00B777BD"/>
    <w:rsid w:val="00B95857"/>
    <w:rsid w:val="00BA5754"/>
    <w:rsid w:val="00BC43B9"/>
    <w:rsid w:val="00BC636B"/>
    <w:rsid w:val="00BC76E8"/>
    <w:rsid w:val="00C212D9"/>
    <w:rsid w:val="00C36E14"/>
    <w:rsid w:val="00C61DEE"/>
    <w:rsid w:val="00C772CF"/>
    <w:rsid w:val="00C80C1D"/>
    <w:rsid w:val="00C94883"/>
    <w:rsid w:val="00C95DF2"/>
    <w:rsid w:val="00CC254D"/>
    <w:rsid w:val="00CE18A6"/>
    <w:rsid w:val="00D65B0C"/>
    <w:rsid w:val="00D830A2"/>
    <w:rsid w:val="00D864FC"/>
    <w:rsid w:val="00D949A7"/>
    <w:rsid w:val="00D9548E"/>
    <w:rsid w:val="00DC2C21"/>
    <w:rsid w:val="00DF73FA"/>
    <w:rsid w:val="00E1700D"/>
    <w:rsid w:val="00E44FFC"/>
    <w:rsid w:val="00E55822"/>
    <w:rsid w:val="00E94451"/>
    <w:rsid w:val="00EA04A0"/>
    <w:rsid w:val="00EB271B"/>
    <w:rsid w:val="00EC26CE"/>
    <w:rsid w:val="00ED4B46"/>
    <w:rsid w:val="00ED7398"/>
    <w:rsid w:val="00F16BA2"/>
    <w:rsid w:val="00FA2F52"/>
    <w:rsid w:val="00FA2F91"/>
    <w:rsid w:val="00FD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B436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2306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550E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4">
    <w:name w:val="heading 4"/>
    <w:basedOn w:val="Normalny"/>
    <w:link w:val="Nagwek4Znak"/>
    <w:uiPriority w:val="9"/>
    <w:qFormat/>
    <w:rsid w:val="00BC636B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rFonts w:eastAsia="Times New Roman" w:cs="Times New Roman"/>
      <w:b/>
      <w:b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Inne">
    <w:name w:val="Inne_"/>
    <w:basedOn w:val="Domylnaczcionkaakapitu"/>
    <w:link w:val="Inne0"/>
    <w:rsid w:val="00E1700D"/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Inne0">
    <w:name w:val="Inne"/>
    <w:basedOn w:val="Normalny"/>
    <w:link w:val="Inne"/>
    <w:rsid w:val="00E1700D"/>
    <w:pPr>
      <w:suppressAutoHyphens w:val="0"/>
      <w:autoSpaceDN/>
      <w:jc w:val="center"/>
      <w:textAlignment w:val="auto"/>
    </w:pPr>
    <w:rPr>
      <w:rFonts w:ascii="Palatino Linotype" w:eastAsia="Palatino Linotype" w:hAnsi="Palatino Linotype" w:cs="Palatino Linotype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BC636B"/>
    <w:rPr>
      <w:rFonts w:eastAsia="Times New Roman" w:cs="Times New Roman"/>
      <w:b/>
      <w:bCs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8C550E"/>
    <w:rPr>
      <w:rFonts w:asciiTheme="majorHAnsi" w:eastAsiaTheme="majorEastAsia" w:hAnsiTheme="majorHAnsi"/>
      <w:color w:val="1F3763" w:themeColor="accent1" w:themeShade="7F"/>
      <w:szCs w:val="21"/>
    </w:rPr>
  </w:style>
  <w:style w:type="character" w:customStyle="1" w:styleId="value">
    <w:name w:val="value"/>
    <w:basedOn w:val="Domylnaczcionkaakapitu"/>
    <w:rsid w:val="008C550E"/>
  </w:style>
  <w:style w:type="character" w:styleId="Hipercze">
    <w:name w:val="Hyperlink"/>
    <w:basedOn w:val="Domylnaczcionkaakapitu"/>
    <w:uiPriority w:val="99"/>
    <w:semiHidden/>
    <w:unhideWhenUsed/>
    <w:rsid w:val="008C55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B2306"/>
    <w:rPr>
      <w:rFonts w:asciiTheme="majorHAnsi" w:eastAsiaTheme="majorEastAsia" w:hAnsiTheme="majorHAnsi"/>
      <w:color w:val="2F5496" w:themeColor="accent1" w:themeShade="BF"/>
      <w:sz w:val="32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wydawnictwa/wolters-kluwer-polska,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jan-aleksander-zimmermann,3337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siegarnia.pwn.pl/wydawca/Wydawnictwo-Naukowe-PWN,w,695009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3</Pages>
  <Words>1076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21</cp:revision>
  <cp:lastPrinted>2019-04-12T10:28:00Z</cp:lastPrinted>
  <dcterms:created xsi:type="dcterms:W3CDTF">2023-12-19T21:54:00Z</dcterms:created>
  <dcterms:modified xsi:type="dcterms:W3CDTF">2023-12-30T09:53:00Z</dcterms:modified>
</cp:coreProperties>
</file>